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3F" w:rsidRPr="006F433F" w:rsidRDefault="006F433F" w:rsidP="006F433F">
      <w:pPr>
        <w:ind w:right="-126"/>
        <w:rPr>
          <w:color w:val="86171C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55pt;margin-top:7.3pt;width:80.3pt;height:71.1pt;z-index:1">
            <v:imagedata r:id="rId7" o:title="TSBVI_logo"/>
            <w10:wrap type="square"/>
          </v:shape>
        </w:pict>
      </w:r>
      <w:r w:rsidRPr="006F433F">
        <w:rPr>
          <w:color w:val="86171C"/>
          <w:sz w:val="40"/>
          <w:szCs w:val="40"/>
        </w:rPr>
        <w:t>Texas School for the Blind &amp; Visually Impaired</w:t>
      </w:r>
    </w:p>
    <w:p w:rsidR="006F433F" w:rsidRPr="006F433F" w:rsidRDefault="006F433F" w:rsidP="006F433F">
      <w:pPr>
        <w:ind w:right="-126"/>
        <w:rPr>
          <w:color w:val="86171C"/>
          <w:sz w:val="32"/>
          <w:szCs w:val="32"/>
        </w:rPr>
      </w:pPr>
      <w:r w:rsidRPr="006F433F">
        <w:rPr>
          <w:color w:val="86171C"/>
          <w:sz w:val="32"/>
          <w:szCs w:val="32"/>
        </w:rPr>
        <w:t>Outreach Programs</w:t>
      </w:r>
    </w:p>
    <w:p w:rsidR="006F433F" w:rsidRPr="006F433F" w:rsidRDefault="006F433F" w:rsidP="006F433F">
      <w:pPr>
        <w:ind w:right="-126"/>
        <w:rPr>
          <w:color w:val="86171C"/>
          <w:sz w:val="28"/>
          <w:szCs w:val="28"/>
        </w:rPr>
      </w:pPr>
      <w:r w:rsidRPr="006F433F">
        <w:rPr>
          <w:color w:val="86171C"/>
          <w:sz w:val="28"/>
          <w:szCs w:val="28"/>
        </w:rPr>
        <w:t>www.tsbvi.edu | 512-545-8631 | 1100 W. 45th St. | Austin, TX 78756</w:t>
      </w:r>
    </w:p>
    <w:p w:rsidR="006F433F" w:rsidRDefault="006F433F" w:rsidP="00E32490">
      <w:pPr>
        <w:pStyle w:val="Title"/>
      </w:pPr>
    </w:p>
    <w:p w:rsidR="002568FB" w:rsidRPr="0092559B" w:rsidRDefault="002568FB" w:rsidP="00E32490">
      <w:pPr>
        <w:pStyle w:val="Title"/>
        <w:rPr>
          <w:sz w:val="88"/>
          <w:szCs w:val="88"/>
        </w:rPr>
      </w:pPr>
      <w:r w:rsidRPr="00E8781A">
        <w:t>The Communication Matrix</w:t>
      </w:r>
      <w:r w:rsidRPr="0092559B">
        <w:rPr>
          <w:sz w:val="88"/>
          <w:szCs w:val="88"/>
        </w:rPr>
        <w:br/>
      </w:r>
      <w:r w:rsidRPr="0092559B">
        <w:rPr>
          <w:sz w:val="36"/>
        </w:rPr>
        <w:t>by Charity Rowland, Ph.D., _©1990, 1996, 2004</w:t>
      </w:r>
    </w:p>
    <w:p w:rsidR="00E32490" w:rsidRPr="00E8781A" w:rsidRDefault="00E32490" w:rsidP="00E8781A">
      <w:pPr>
        <w:pStyle w:val="Title"/>
      </w:pPr>
      <w:r w:rsidRPr="0092559B">
        <w:rPr>
          <w:sz w:val="64"/>
        </w:rPr>
        <w:t xml:space="preserve"> </w:t>
      </w:r>
      <w:r w:rsidRPr="00E8781A">
        <w:t>WHAT IS IT? &amp;</w:t>
      </w:r>
      <w:r w:rsidR="00E8781A">
        <w:t xml:space="preserve"> </w:t>
      </w:r>
      <w:r w:rsidRPr="00E8781A">
        <w:t>HOW DO I DO IT?</w:t>
      </w:r>
    </w:p>
    <w:p w:rsidR="00E32490" w:rsidRPr="00D21981" w:rsidRDefault="00E32490" w:rsidP="006F433F">
      <w:pPr>
        <w:pStyle w:val="Subtitle"/>
      </w:pPr>
      <w:r w:rsidRPr="0092559B">
        <w:t>By Sara Kitchen, TSBVI Outreach</w:t>
      </w:r>
      <w:r>
        <w:t xml:space="preserve">, </w:t>
      </w:r>
      <w:r w:rsidRPr="0092559B">
        <w:t>September, 18, 2009</w:t>
      </w:r>
    </w:p>
    <w:p w:rsidR="00E32490" w:rsidRDefault="00E32490" w:rsidP="00E32490">
      <w:pPr>
        <w:pStyle w:val="Heading1"/>
      </w:pPr>
      <w:r>
        <w:t>W</w:t>
      </w:r>
      <w:r w:rsidR="006F433F">
        <w:t xml:space="preserve">hat Is It? </w:t>
      </w:r>
    </w:p>
    <w:p w:rsidR="00E32490" w:rsidRDefault="00E32490" w:rsidP="00E8781A">
      <w:pPr>
        <w:pStyle w:val="Heading2"/>
      </w:pPr>
      <w:r>
        <w:t xml:space="preserve">Assesses </w:t>
      </w:r>
      <w:r w:rsidRPr="00E8781A">
        <w:t>Communication</w:t>
      </w:r>
      <w:r>
        <w:t xml:space="preserve"> Skills</w:t>
      </w:r>
    </w:p>
    <w:p w:rsidR="00E32490" w:rsidRPr="00E8781A" w:rsidRDefault="00E32490" w:rsidP="00E8781A">
      <w:pPr>
        <w:numPr>
          <w:ilvl w:val="0"/>
          <w:numId w:val="10"/>
        </w:numPr>
      </w:pPr>
      <w:r w:rsidRPr="00E8781A">
        <w:t>For individuals at the EARLIEST stages of communication development</w:t>
      </w:r>
    </w:p>
    <w:p w:rsidR="00E32490" w:rsidRPr="00E8781A" w:rsidRDefault="00E32490" w:rsidP="00E8781A">
      <w:pPr>
        <w:numPr>
          <w:ilvl w:val="0"/>
          <w:numId w:val="10"/>
        </w:numPr>
      </w:pPr>
      <w:r w:rsidRPr="00E8781A">
        <w:t>For individuals who use ANY form of communication, including pre-symbolic or alternative and augmentative forms up to those who use abstract forms.</w:t>
      </w:r>
    </w:p>
    <w:p w:rsidR="00E32490" w:rsidRDefault="00E32490" w:rsidP="00E32490">
      <w:pPr>
        <w:pStyle w:val="Heading2"/>
      </w:pPr>
      <w:r>
        <w:t>Organization of Assessment</w:t>
      </w:r>
    </w:p>
    <w:p w:rsidR="00E32490" w:rsidRPr="00E8781A" w:rsidRDefault="00E32490" w:rsidP="00E8781A">
      <w:pPr>
        <w:numPr>
          <w:ilvl w:val="0"/>
          <w:numId w:val="11"/>
        </w:numPr>
      </w:pPr>
      <w:r w:rsidRPr="00E8781A">
        <w:t>Four reasons to Communicate:</w:t>
      </w:r>
    </w:p>
    <w:p w:rsidR="00E32490" w:rsidRPr="00E8781A" w:rsidRDefault="00E32490" w:rsidP="00E8781A">
      <w:pPr>
        <w:numPr>
          <w:ilvl w:val="0"/>
          <w:numId w:val="12"/>
        </w:numPr>
      </w:pPr>
      <w:r w:rsidRPr="00E8781A">
        <w:t>Reject/Refuse</w:t>
      </w:r>
    </w:p>
    <w:p w:rsidR="00E32490" w:rsidRPr="00E8781A" w:rsidRDefault="00E32490" w:rsidP="00E8781A">
      <w:pPr>
        <w:numPr>
          <w:ilvl w:val="0"/>
          <w:numId w:val="12"/>
        </w:numPr>
      </w:pPr>
      <w:r w:rsidRPr="00E8781A">
        <w:t>Obtain/Request</w:t>
      </w:r>
    </w:p>
    <w:p w:rsidR="00E32490" w:rsidRPr="00E8781A" w:rsidRDefault="00E32490" w:rsidP="00E8781A">
      <w:pPr>
        <w:numPr>
          <w:ilvl w:val="0"/>
          <w:numId w:val="12"/>
        </w:numPr>
      </w:pPr>
      <w:r w:rsidRPr="00E8781A">
        <w:t>Socialize</w:t>
      </w:r>
    </w:p>
    <w:p w:rsidR="00E32490" w:rsidRPr="00E8781A" w:rsidRDefault="00E32490" w:rsidP="00E8781A">
      <w:pPr>
        <w:numPr>
          <w:ilvl w:val="0"/>
          <w:numId w:val="12"/>
        </w:numPr>
      </w:pPr>
      <w:r w:rsidRPr="00E8781A">
        <w:t>Get/Give Information</w:t>
      </w:r>
    </w:p>
    <w:p w:rsidR="00E32490" w:rsidRPr="00E8781A" w:rsidRDefault="00E32490" w:rsidP="00E8781A">
      <w:pPr>
        <w:numPr>
          <w:ilvl w:val="0"/>
          <w:numId w:val="11"/>
        </w:numPr>
      </w:pPr>
      <w:r w:rsidRPr="00E8781A">
        <w:t>Seven levels of communicative competence that fall into three categories:</w:t>
      </w:r>
    </w:p>
    <w:p w:rsidR="00E32490" w:rsidRPr="00E8781A" w:rsidRDefault="00E32490" w:rsidP="00E8781A">
      <w:pPr>
        <w:numPr>
          <w:ilvl w:val="0"/>
          <w:numId w:val="13"/>
        </w:numPr>
      </w:pPr>
      <w:r w:rsidRPr="00E8781A">
        <w:t xml:space="preserve">Non-intentional Communication </w:t>
      </w:r>
    </w:p>
    <w:p w:rsidR="00E32490" w:rsidRPr="00E8781A" w:rsidRDefault="00E32490" w:rsidP="00E8781A">
      <w:pPr>
        <w:numPr>
          <w:ilvl w:val="0"/>
          <w:numId w:val="13"/>
        </w:numPr>
      </w:pPr>
      <w:r w:rsidRPr="00E8781A">
        <w:t>Intentional Communication</w:t>
      </w:r>
    </w:p>
    <w:p w:rsidR="00E32490" w:rsidRPr="00D21981" w:rsidRDefault="00E32490" w:rsidP="00E32490">
      <w:pPr>
        <w:numPr>
          <w:ilvl w:val="0"/>
          <w:numId w:val="13"/>
        </w:numPr>
      </w:pPr>
      <w:r w:rsidRPr="00E8781A">
        <w:t>Symbolic communication</w:t>
      </w:r>
    </w:p>
    <w:p w:rsidR="00E32490" w:rsidRDefault="006F433F" w:rsidP="00E32490">
      <w:pPr>
        <w:pStyle w:val="Heading2"/>
      </w:pPr>
      <w:r>
        <w:br w:type="page"/>
      </w:r>
      <w:r w:rsidR="00E32490">
        <w:lastRenderedPageBreak/>
        <w:t>Non-Intentional Communication:</w:t>
      </w:r>
    </w:p>
    <w:p w:rsidR="00E30E85" w:rsidRDefault="00E32490" w:rsidP="00E8781A">
      <w:r w:rsidRPr="00E8781A">
        <w:t>B</w:t>
      </w:r>
      <w:r w:rsidR="00E30E85">
        <w:t>ehavior is interpreted by parent / caregiver</w:t>
      </w:r>
    </w:p>
    <w:p w:rsidR="00E8781A" w:rsidRDefault="00E32490" w:rsidP="00E30E85">
      <w:pPr>
        <w:pStyle w:val="Heading3"/>
      </w:pPr>
      <w:r w:rsidRPr="00E30E85">
        <w:t>Level I</w:t>
      </w:r>
      <w:r>
        <w:t xml:space="preserve">: Pre-Intentional </w:t>
      </w:r>
      <w:r w:rsidRPr="00E8781A">
        <w:t>Behavior</w:t>
      </w:r>
    </w:p>
    <w:p w:rsidR="00E8781A" w:rsidRPr="00E8781A" w:rsidRDefault="00E32490" w:rsidP="00E8781A">
      <w:r w:rsidRPr="00E8781A">
        <w:t>Behaviors are reflexes of the child’s internal state.</w:t>
      </w:r>
    </w:p>
    <w:p w:rsidR="00E32490" w:rsidRPr="00E8781A" w:rsidRDefault="00E32490" w:rsidP="00E8781A">
      <w:r w:rsidRPr="00E8781A">
        <w:t>Examples include: fussing, wriggling-wet/tired/hungry, quiet but alert-fed/rested</w:t>
      </w:r>
    </w:p>
    <w:p w:rsidR="00E8781A" w:rsidRDefault="00E32490" w:rsidP="00E30E85">
      <w:pPr>
        <w:pStyle w:val="Heading3"/>
      </w:pPr>
      <w:r w:rsidRPr="00E30E85">
        <w:t>Level II</w:t>
      </w:r>
      <w:r>
        <w:t>: Intentional Behavior</w:t>
      </w:r>
    </w:p>
    <w:p w:rsidR="00E8781A" w:rsidRDefault="00E32490" w:rsidP="00E8781A">
      <w:r w:rsidRPr="00E8781A">
        <w:t>Behaviors are under child’s control but, child does not yet know he can affect parent.</w:t>
      </w:r>
    </w:p>
    <w:p w:rsidR="00E32490" w:rsidRPr="00D21981" w:rsidRDefault="00E32490" w:rsidP="00E32490">
      <w:r w:rsidRPr="00E8781A">
        <w:t>Examples include: vocalizations, turning toward/away from desired object/person, taking desired object, etc.</w:t>
      </w:r>
    </w:p>
    <w:p w:rsidR="00E32490" w:rsidRPr="00D21981" w:rsidRDefault="00E32490" w:rsidP="00E30E85">
      <w:pPr>
        <w:pStyle w:val="Heading1"/>
      </w:pPr>
      <w:r w:rsidRPr="00D21981">
        <w:t>I</w:t>
      </w:r>
      <w:r w:rsidR="00E30E85">
        <w:t xml:space="preserve">ntentional Behavior vs. Intentional Communication </w:t>
      </w:r>
    </w:p>
    <w:p w:rsidR="00E32490" w:rsidRPr="00E30E85" w:rsidRDefault="00E30E85" w:rsidP="00E30E85">
      <w:pPr>
        <w:numPr>
          <w:ilvl w:val="0"/>
          <w:numId w:val="10"/>
        </w:numPr>
      </w:pPr>
      <w:r>
        <w:t xml:space="preserve">You will know your child is intentionally trying to communicate when she/he: </w:t>
      </w:r>
    </w:p>
    <w:p w:rsidR="00E32490" w:rsidRPr="00E30E85" w:rsidRDefault="00E32490" w:rsidP="00E30E85">
      <w:pPr>
        <w:numPr>
          <w:ilvl w:val="1"/>
          <w:numId w:val="10"/>
        </w:numPr>
      </w:pPr>
      <w:r w:rsidRPr="00E30E85">
        <w:t>Orients toward you by looking at you, facing you, or reaching toward you before acting</w:t>
      </w:r>
    </w:p>
    <w:p w:rsidR="00E32490" w:rsidRPr="00E30E85" w:rsidRDefault="00E32490" w:rsidP="00E30E85">
      <w:pPr>
        <w:numPr>
          <w:ilvl w:val="1"/>
          <w:numId w:val="10"/>
        </w:numPr>
      </w:pPr>
      <w:r w:rsidRPr="00E30E85">
        <w:t>Waits for your response</w:t>
      </w:r>
    </w:p>
    <w:p w:rsidR="00E30E85" w:rsidRPr="00E30E85" w:rsidRDefault="00E32490" w:rsidP="00E30E85">
      <w:pPr>
        <w:numPr>
          <w:ilvl w:val="0"/>
          <w:numId w:val="10"/>
        </w:numPr>
      </w:pPr>
      <w:r w:rsidRPr="00E8781A">
        <w:t>S</w:t>
      </w:r>
      <w:r w:rsidR="00E30E85">
        <w:t>ometimes it is difficult to tell the difference, but it is a big deal when the child ilearns that he /she can affect others!</w:t>
      </w:r>
    </w:p>
    <w:p w:rsidR="00E32490" w:rsidRDefault="00E32490" w:rsidP="00E32490">
      <w:pPr>
        <w:numPr>
          <w:ilvl w:val="0"/>
          <w:numId w:val="10"/>
        </w:numPr>
      </w:pPr>
      <w:r>
        <w:t xml:space="preserve">Moving from intentional behavior to intentional communication is a big step!  </w:t>
      </w:r>
    </w:p>
    <w:p w:rsidR="00E32490" w:rsidRDefault="00E32490" w:rsidP="00E30E85">
      <w:pPr>
        <w:pStyle w:val="Heading2"/>
        <w:ind w:left="0" w:firstLine="0"/>
        <w:rPr>
          <w:color w:val="000000"/>
          <w:sz w:val="88"/>
          <w:szCs w:val="88"/>
        </w:rPr>
      </w:pPr>
      <w:r w:rsidRPr="00E30E85">
        <w:t>I</w:t>
      </w:r>
      <w:r w:rsidR="00E30E85" w:rsidRPr="00E30E85">
        <w:t xml:space="preserve">ntentional Communication </w:t>
      </w:r>
      <w:r w:rsidRPr="00E30E85">
        <w:t>(a.k.a. pre-symbolic)</w:t>
      </w:r>
    </w:p>
    <w:p w:rsidR="00E32490" w:rsidRDefault="00E32490" w:rsidP="00E30E85">
      <w:r>
        <w:t>I</w:t>
      </w:r>
      <w:r w:rsidR="00E30E85">
        <w:t xml:space="preserve">t’s about the here and now: </w:t>
      </w:r>
    </w:p>
    <w:p w:rsidR="00E32490" w:rsidRPr="00E30E85" w:rsidRDefault="00E32490" w:rsidP="00E30E85">
      <w:pPr>
        <w:pStyle w:val="Heading3"/>
      </w:pPr>
      <w:r w:rsidRPr="00E30E85">
        <w:t>Level III: Unconventional Communication</w:t>
      </w:r>
    </w:p>
    <w:p w:rsidR="00E32490" w:rsidRPr="00E30E85" w:rsidRDefault="00E32490" w:rsidP="00E30E85">
      <w:pPr>
        <w:numPr>
          <w:ilvl w:val="0"/>
          <w:numId w:val="19"/>
        </w:numPr>
      </w:pPr>
      <w:r w:rsidRPr="00E30E85">
        <w:t>Effective but not generally socially acceptable.</w:t>
      </w:r>
    </w:p>
    <w:p w:rsidR="00E32490" w:rsidRPr="00E30E85" w:rsidRDefault="00E32490" w:rsidP="00E30E85">
      <w:pPr>
        <w:numPr>
          <w:ilvl w:val="0"/>
          <w:numId w:val="19"/>
        </w:numPr>
      </w:pPr>
      <w:r w:rsidRPr="00E30E85">
        <w:t>Examples include tugging at someone, whining, jumping up and down, etc.</w:t>
      </w:r>
    </w:p>
    <w:p w:rsidR="00E32490" w:rsidRPr="00E30E85" w:rsidRDefault="00E32490" w:rsidP="00E30E85">
      <w:pPr>
        <w:pStyle w:val="Heading3"/>
      </w:pPr>
      <w:r w:rsidRPr="00E30E85">
        <w:t>Level IV:  Conventional Communication</w:t>
      </w:r>
    </w:p>
    <w:p w:rsidR="00E32490" w:rsidRPr="00E30E85" w:rsidRDefault="00E32490" w:rsidP="00E30E85">
      <w:pPr>
        <w:numPr>
          <w:ilvl w:val="0"/>
          <w:numId w:val="18"/>
        </w:numPr>
      </w:pPr>
      <w:r w:rsidRPr="00E30E85">
        <w:t>Learned through experience and modeling from others</w:t>
      </w:r>
    </w:p>
    <w:p w:rsidR="00E32490" w:rsidRPr="00E30E85" w:rsidRDefault="00E32490" w:rsidP="00E30E85">
      <w:pPr>
        <w:numPr>
          <w:ilvl w:val="0"/>
          <w:numId w:val="18"/>
        </w:numPr>
      </w:pPr>
      <w:r w:rsidRPr="00E30E85">
        <w:t>Examples include: pointing, nodding/shaking head, waving hello/goodbye, tapping someone on the shoulder</w:t>
      </w:r>
    </w:p>
    <w:p w:rsidR="00E32490" w:rsidRPr="00E30E85" w:rsidRDefault="00E32490" w:rsidP="00E30E85">
      <w:pPr>
        <w:numPr>
          <w:ilvl w:val="0"/>
          <w:numId w:val="18"/>
        </w:numPr>
      </w:pPr>
      <w:r w:rsidRPr="00E30E85">
        <w:t>Children who are visually impaired need to be shown because they don’t see other people doing them.</w:t>
      </w:r>
    </w:p>
    <w:p w:rsidR="00E32490" w:rsidRDefault="00E32490" w:rsidP="00E32490">
      <w:pPr>
        <w:pStyle w:val="Heading2"/>
      </w:pPr>
      <w:r>
        <w:lastRenderedPageBreak/>
        <w:t>S</w:t>
      </w:r>
      <w:r w:rsidR="00E30E85">
        <w:t xml:space="preserve">ymbolic Communication </w:t>
      </w:r>
    </w:p>
    <w:p w:rsidR="00E32490" w:rsidRDefault="00E30E85" w:rsidP="00E30E85">
      <w:r>
        <w:t>We can talk about the past and future</w:t>
      </w:r>
      <w:r w:rsidR="00E32490">
        <w:t>:</w:t>
      </w:r>
    </w:p>
    <w:p w:rsidR="00E30E85" w:rsidRDefault="00E32490" w:rsidP="00E30E85">
      <w:pPr>
        <w:pStyle w:val="Heading3"/>
      </w:pPr>
      <w:r w:rsidRPr="00E8781A">
        <w:t xml:space="preserve">Level V-Concrete symbols: </w:t>
      </w:r>
    </w:p>
    <w:p w:rsidR="00E32490" w:rsidRPr="00E8781A" w:rsidRDefault="00E32490" w:rsidP="00E30E85">
      <w:pPr>
        <w:numPr>
          <w:ilvl w:val="0"/>
          <w:numId w:val="20"/>
        </w:numPr>
      </w:pPr>
      <w:r w:rsidRPr="00E8781A">
        <w:t>Symbols look, feel move like, make sounds like what they represent, such as the container that the frozen juice comes from or the top of the juice container glued to a piece of cardboard.</w:t>
      </w:r>
    </w:p>
    <w:p w:rsidR="00E30E85" w:rsidRDefault="00E32490" w:rsidP="00E30E85">
      <w:pPr>
        <w:pStyle w:val="Heading3"/>
      </w:pPr>
      <w:r w:rsidRPr="00E8781A">
        <w:t xml:space="preserve">Level VI-Abstract Symbols: </w:t>
      </w:r>
    </w:p>
    <w:p w:rsidR="00E32490" w:rsidRPr="00E8781A" w:rsidRDefault="00E32490" w:rsidP="00E30E85">
      <w:pPr>
        <w:numPr>
          <w:ilvl w:val="0"/>
          <w:numId w:val="20"/>
        </w:numPr>
      </w:pPr>
      <w:r w:rsidRPr="00E8781A">
        <w:t>Symbols don’t look, feel, sound like, move like or smell like what they represent and are used one at a time, such as the written or spoken word “juice”.</w:t>
      </w:r>
    </w:p>
    <w:p w:rsidR="00E30E85" w:rsidRDefault="00E32490" w:rsidP="00E30E85">
      <w:pPr>
        <w:pStyle w:val="Heading3"/>
      </w:pPr>
      <w:r w:rsidRPr="00E8781A">
        <w:t xml:space="preserve">Level VII-Language: </w:t>
      </w:r>
    </w:p>
    <w:p w:rsidR="00E32490" w:rsidRPr="00D21981" w:rsidRDefault="00E32490" w:rsidP="00E32490">
      <w:pPr>
        <w:numPr>
          <w:ilvl w:val="0"/>
          <w:numId w:val="20"/>
        </w:numPr>
      </w:pPr>
      <w:r w:rsidRPr="00E8781A">
        <w:t>Abstract symbols are combined to form short sentences, such as “want juice”.</w:t>
      </w:r>
    </w:p>
    <w:p w:rsidR="00E32490" w:rsidRDefault="00E32490" w:rsidP="00E32490">
      <w:pPr>
        <w:pStyle w:val="Heading1"/>
      </w:pPr>
      <w:r>
        <w:t>H</w:t>
      </w:r>
      <w:r w:rsidR="006F433F">
        <w:t>ow Do I Do It?</w:t>
      </w:r>
    </w:p>
    <w:p w:rsidR="00E32490" w:rsidRDefault="00E32490" w:rsidP="00E32490">
      <w:pPr>
        <w:pStyle w:val="Heading2"/>
      </w:pPr>
      <w:r>
        <w:t>Instructions</w:t>
      </w:r>
    </w:p>
    <w:p w:rsidR="00E32490" w:rsidRPr="00E8781A" w:rsidRDefault="00E32490" w:rsidP="006F433F">
      <w:pPr>
        <w:numPr>
          <w:ilvl w:val="0"/>
          <w:numId w:val="21"/>
        </w:numPr>
      </w:pPr>
      <w:r w:rsidRPr="00E8781A">
        <w:t>Use observations, interviews (including the Communication Matrix Especially for Parents), and interactions with the child to gain this information.</w:t>
      </w:r>
    </w:p>
    <w:p w:rsidR="00E32490" w:rsidRPr="00E8781A" w:rsidRDefault="00E32490" w:rsidP="006F433F">
      <w:pPr>
        <w:numPr>
          <w:ilvl w:val="0"/>
          <w:numId w:val="21"/>
        </w:numPr>
      </w:pPr>
      <w:r w:rsidRPr="00E8781A">
        <w:t>Meet as a team, and ask yourselves each question under the “ASK THESE QUESTIONS” column.</w:t>
      </w:r>
    </w:p>
    <w:p w:rsidR="00E32490" w:rsidRPr="001D0F5C" w:rsidRDefault="00E32490" w:rsidP="006F433F">
      <w:pPr>
        <w:numPr>
          <w:ilvl w:val="0"/>
          <w:numId w:val="21"/>
        </w:numPr>
      </w:pPr>
      <w:r w:rsidRPr="001D0F5C">
        <w:t>If the answer is “YES”, circle the letter next to the behavior the child uses.</w:t>
      </w:r>
    </w:p>
    <w:p w:rsidR="00E32490" w:rsidRPr="001D0F5C" w:rsidRDefault="00E32490" w:rsidP="006F433F">
      <w:pPr>
        <w:numPr>
          <w:ilvl w:val="0"/>
          <w:numId w:val="21"/>
        </w:numPr>
      </w:pPr>
      <w:r w:rsidRPr="001D0F5C">
        <w:t>Only check off behaviors child uses independently (without assistance or prompting) and consistently (occurring most times when opportunity arises)</w:t>
      </w:r>
    </w:p>
    <w:p w:rsidR="00E32490" w:rsidRPr="001D0F5C" w:rsidRDefault="00E32490" w:rsidP="006F433F">
      <w:pPr>
        <w:numPr>
          <w:ilvl w:val="0"/>
          <w:numId w:val="21"/>
        </w:numPr>
      </w:pPr>
      <w:r w:rsidRPr="001D0F5C">
        <w:t>Make a note where child is using a behavior inconsistently.  This behavior might be considered “Emerging”.</w:t>
      </w:r>
    </w:p>
    <w:p w:rsidR="00E32490" w:rsidRPr="001D0F5C" w:rsidRDefault="00E32490" w:rsidP="006F433F">
      <w:pPr>
        <w:numPr>
          <w:ilvl w:val="0"/>
          <w:numId w:val="21"/>
        </w:numPr>
      </w:pPr>
      <w:r w:rsidRPr="001D0F5C">
        <w:t>If the answer is “NO” move on to the next box.</w:t>
      </w:r>
    </w:p>
    <w:p w:rsidR="00E32490" w:rsidRPr="00E8781A" w:rsidRDefault="00E32490" w:rsidP="006F433F">
      <w:pPr>
        <w:numPr>
          <w:ilvl w:val="0"/>
          <w:numId w:val="21"/>
        </w:numPr>
      </w:pPr>
      <w:r w:rsidRPr="00E8781A">
        <w:t>Transfer the information to the student profile sheet.</w:t>
      </w:r>
    </w:p>
    <w:p w:rsidR="00E32490" w:rsidRDefault="00E32490" w:rsidP="006F433F">
      <w:pPr>
        <w:numPr>
          <w:ilvl w:val="0"/>
          <w:numId w:val="21"/>
        </w:numPr>
      </w:pPr>
      <w:r>
        <w:t>Shade in the boxes where the child shows competence (uses at least one behavior independently and consistently)</w:t>
      </w:r>
    </w:p>
    <w:p w:rsidR="00E32490" w:rsidRPr="00D21981" w:rsidRDefault="00E32490" w:rsidP="006F433F">
      <w:pPr>
        <w:numPr>
          <w:ilvl w:val="0"/>
          <w:numId w:val="21"/>
        </w:numPr>
      </w:pPr>
      <w:r>
        <w:t>Put stripes in the boxes where the child shows emerging behaviors (uses behavior independently but not consistently).</w:t>
      </w:r>
    </w:p>
    <w:p w:rsidR="00E32490" w:rsidRDefault="006F433F" w:rsidP="00E32490">
      <w:pPr>
        <w:pStyle w:val="Heading2"/>
      </w:pPr>
      <w:r>
        <w:br w:type="page"/>
      </w:r>
      <w:r>
        <w:lastRenderedPageBreak/>
        <w:t>Share the Results</w:t>
      </w:r>
    </w:p>
    <w:p w:rsidR="00E32490" w:rsidRPr="00E8781A" w:rsidRDefault="00E32490" w:rsidP="006F433F">
      <w:pPr>
        <w:numPr>
          <w:ilvl w:val="0"/>
          <w:numId w:val="20"/>
        </w:numPr>
      </w:pPr>
      <w:r w:rsidRPr="00E8781A">
        <w:t>Copy the information the team fill</w:t>
      </w:r>
      <w:r w:rsidR="006F433F">
        <w:t xml:space="preserve">ed out from pages 3-6 </w:t>
      </w:r>
      <w:r w:rsidRPr="00E8781A">
        <w:t>for each team member to keep in their notebook.</w:t>
      </w:r>
    </w:p>
    <w:p w:rsidR="00E32490" w:rsidRPr="00E8781A" w:rsidRDefault="00E32490" w:rsidP="006F433F">
      <w:pPr>
        <w:numPr>
          <w:ilvl w:val="0"/>
          <w:numId w:val="20"/>
        </w:numPr>
      </w:pPr>
      <w:r w:rsidRPr="00E8781A">
        <w:t>Copy the completed profile and give one to each team member.</w:t>
      </w:r>
    </w:p>
    <w:p w:rsidR="00E32490" w:rsidRPr="001D0F5C" w:rsidRDefault="00E32490" w:rsidP="006F433F">
      <w:pPr>
        <w:numPr>
          <w:ilvl w:val="0"/>
          <w:numId w:val="20"/>
        </w:numPr>
      </w:pPr>
      <w:r w:rsidRPr="00E8781A">
        <w:t>Copy the information from “Especially for Parents” if used.</w:t>
      </w:r>
    </w:p>
    <w:sectPr w:rsidR="00E32490" w:rsidRPr="001D0F5C" w:rsidSect="006F433F">
      <w:headerReference w:type="default" r:id="rId8"/>
      <w:footerReference w:type="even" r:id="rId9"/>
      <w:footerReference w:type="default" r:id="rId10"/>
      <w:pgSz w:w="12240" w:h="15840"/>
      <w:pgMar w:top="1008" w:right="1008" w:bottom="1008" w:left="1008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BD" w:rsidRDefault="007107BD" w:rsidP="006F433F">
      <w:pPr>
        <w:spacing w:before="0" w:after="0"/>
      </w:pPr>
      <w:r>
        <w:separator/>
      </w:r>
    </w:p>
  </w:endnote>
  <w:endnote w:type="continuationSeparator" w:id="0">
    <w:p w:rsidR="007107BD" w:rsidRDefault="007107BD" w:rsidP="006F43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F" w:rsidRDefault="006F433F">
    <w:pPr>
      <w:pStyle w:val="Footer"/>
    </w:pPr>
  </w:p>
  <w:p w:rsidR="00EA7531" w:rsidRDefault="00EA75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F" w:rsidRDefault="006F433F" w:rsidP="006F433F">
    <w:pPr>
      <w:pStyle w:val="Footer"/>
      <w:jc w:val="right"/>
    </w:pPr>
    <w:r>
      <w:t xml:space="preserve">Handout – The Communication Matrix by Charity Roland – Kitchen, S.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51C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BD" w:rsidRDefault="007107BD" w:rsidP="006F433F">
      <w:pPr>
        <w:spacing w:before="0" w:after="0"/>
      </w:pPr>
      <w:r>
        <w:separator/>
      </w:r>
    </w:p>
  </w:footnote>
  <w:footnote w:type="continuationSeparator" w:id="0">
    <w:p w:rsidR="007107BD" w:rsidRDefault="007107BD" w:rsidP="006F43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F" w:rsidRPr="006F433F" w:rsidRDefault="006F433F">
    <w:pPr>
      <w:pStyle w:val="Header"/>
      <w:rPr>
        <w:sz w:val="20"/>
        <w:szCs w:val="20"/>
      </w:rPr>
    </w:pPr>
  </w:p>
  <w:p w:rsidR="00EA7531" w:rsidRPr="006F433F" w:rsidRDefault="00EA753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1AB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FDC3D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E16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96C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59BA8746"/>
    <w:lvl w:ilvl="0">
      <w:numFmt w:val="bullet"/>
      <w:lvlText w:val="*"/>
      <w:lvlJc w:val="left"/>
    </w:lvl>
  </w:abstractNum>
  <w:abstractNum w:abstractNumId="5" w15:restartNumberingAfterBreak="0">
    <w:nsid w:val="08000AA1"/>
    <w:multiLevelType w:val="hybridMultilevel"/>
    <w:tmpl w:val="0D2EDA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C0579"/>
    <w:multiLevelType w:val="multilevel"/>
    <w:tmpl w:val="CDAE4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/>
        <w:kern w:val="2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40D4"/>
    <w:multiLevelType w:val="multilevel"/>
    <w:tmpl w:val="CDAE4668"/>
    <w:numStyleLink w:val="StyleBulletedSymbolsymbolBoldLeft025Hanging025"/>
  </w:abstractNum>
  <w:abstractNum w:abstractNumId="8" w15:restartNumberingAfterBreak="0">
    <w:nsid w:val="0F2D51EC"/>
    <w:multiLevelType w:val="hybridMultilevel"/>
    <w:tmpl w:val="077A2C8C"/>
    <w:lvl w:ilvl="0" w:tplc="C8F62EB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6D3E5D"/>
    <w:multiLevelType w:val="hybridMultilevel"/>
    <w:tmpl w:val="687AAD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023F9"/>
    <w:multiLevelType w:val="hybridMultilevel"/>
    <w:tmpl w:val="EB40A3AA"/>
    <w:lvl w:ilvl="0" w:tplc="0B6CB0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9F7E52"/>
    <w:multiLevelType w:val="multilevel"/>
    <w:tmpl w:val="CDAE4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/>
        <w:kern w:val="2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64B"/>
    <w:multiLevelType w:val="hybridMultilevel"/>
    <w:tmpl w:val="C5BA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F2ECB"/>
    <w:multiLevelType w:val="multilevel"/>
    <w:tmpl w:val="CDAE4668"/>
    <w:styleLink w:val="StyleBulletedSymbolsymbolBoldLeft025Hanging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/>
        <w:kern w:val="2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011A"/>
    <w:multiLevelType w:val="multilevel"/>
    <w:tmpl w:val="CDAE4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/>
        <w:kern w:val="2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12E7F"/>
    <w:multiLevelType w:val="multilevel"/>
    <w:tmpl w:val="CDAE4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5D75"/>
    <w:multiLevelType w:val="multilevel"/>
    <w:tmpl w:val="CDAE4668"/>
    <w:numStyleLink w:val="StyleBulletedSymbolsymbolBoldLeft025Hanging025"/>
  </w:abstractNum>
  <w:abstractNum w:abstractNumId="17" w15:restartNumberingAfterBreak="0">
    <w:nsid w:val="678B03B1"/>
    <w:multiLevelType w:val="multilevel"/>
    <w:tmpl w:val="CDAE4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/>
        <w:kern w:val="2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27615"/>
    <w:multiLevelType w:val="hybridMultilevel"/>
    <w:tmpl w:val="CDA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4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3">
    <w:abstractNumId w:val="4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8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15"/>
  </w:num>
  <w:num w:numId="18">
    <w:abstractNumId w:val="14"/>
  </w:num>
  <w:num w:numId="19">
    <w:abstractNumId w:val="17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981"/>
    <w:rsid w:val="001A1006"/>
    <w:rsid w:val="002568FB"/>
    <w:rsid w:val="006F433F"/>
    <w:rsid w:val="007107BD"/>
    <w:rsid w:val="007C51C4"/>
    <w:rsid w:val="00E30E85"/>
    <w:rsid w:val="00E32490"/>
    <w:rsid w:val="00E8781A"/>
    <w:rsid w:val="00EA753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3F8CC4E-32DE-4A5C-9107-93D16F08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3F"/>
    <w:pPr>
      <w:spacing w:before="120"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81A"/>
    <w:pPr>
      <w:widowControl w:val="0"/>
      <w:autoSpaceDE w:val="0"/>
      <w:autoSpaceDN w:val="0"/>
      <w:adjustRightInd w:val="0"/>
      <w:ind w:left="540" w:hanging="540"/>
      <w:outlineLvl w:val="0"/>
    </w:pPr>
    <w:rPr>
      <w:color w:val="86171C"/>
      <w:kern w:val="24"/>
      <w:sz w:val="28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781A"/>
    <w:pPr>
      <w:widowControl w:val="0"/>
      <w:autoSpaceDE w:val="0"/>
      <w:autoSpaceDN w:val="0"/>
      <w:adjustRightInd w:val="0"/>
      <w:ind w:left="446" w:hanging="446"/>
      <w:outlineLvl w:val="1"/>
    </w:pPr>
    <w:rPr>
      <w:b/>
      <w:color w:val="382466"/>
      <w:kern w:val="24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9"/>
    <w:rsid w:val="00E30E85"/>
    <w:pPr>
      <w:widowControl w:val="0"/>
      <w:autoSpaceDE w:val="0"/>
      <w:autoSpaceDN w:val="0"/>
      <w:adjustRightInd w:val="0"/>
      <w:outlineLvl w:val="2"/>
    </w:pPr>
    <w:rPr>
      <w:b/>
      <w:kern w:val="24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781A"/>
    <w:pPr>
      <w:widowControl w:val="0"/>
      <w:autoSpaceDE w:val="0"/>
      <w:autoSpaceDN w:val="0"/>
      <w:adjustRightInd w:val="0"/>
      <w:outlineLvl w:val="3"/>
    </w:pPr>
    <w:rPr>
      <w:i/>
      <w:kern w:val="24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3240" w:hanging="360"/>
      <w:outlineLvl w:val="4"/>
    </w:pPr>
    <w:rPr>
      <w:rFonts w:ascii="Times New Roman" w:hAnsi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960" w:hanging="360"/>
      <w:outlineLvl w:val="5"/>
    </w:pPr>
    <w:rPr>
      <w:rFonts w:ascii="Times New Roman" w:hAnsi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680" w:hanging="360"/>
      <w:outlineLvl w:val="6"/>
    </w:pPr>
    <w:rPr>
      <w:rFonts w:ascii="Times New Roman" w:hAnsi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400" w:hanging="360"/>
      <w:outlineLvl w:val="7"/>
    </w:pPr>
    <w:rPr>
      <w:rFonts w:ascii="Times New Roman" w:hAnsi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6120" w:hanging="360"/>
      <w:outlineLvl w:val="8"/>
    </w:pPr>
    <w:rPr>
      <w:rFonts w:ascii="Times New Roman" w:hAnsi="Times New Roman"/>
      <w:kern w:val="24"/>
      <w:sz w:val="40"/>
      <w:szCs w:val="4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E8781A"/>
    <w:rPr>
      <w:rFonts w:ascii="Arial" w:hAnsi="Arial"/>
      <w:color w:val="86171C"/>
      <w:kern w:val="24"/>
      <w:sz w:val="28"/>
      <w:szCs w:val="64"/>
    </w:rPr>
  </w:style>
  <w:style w:type="character" w:customStyle="1" w:styleId="Heading2Char">
    <w:name w:val="Heading 2 Char"/>
    <w:link w:val="Heading2"/>
    <w:uiPriority w:val="99"/>
    <w:rsid w:val="00E8781A"/>
    <w:rPr>
      <w:rFonts w:ascii="Arial" w:hAnsi="Arial"/>
      <w:b/>
      <w:color w:val="382466"/>
      <w:kern w:val="24"/>
      <w:sz w:val="28"/>
      <w:szCs w:val="56"/>
    </w:rPr>
  </w:style>
  <w:style w:type="character" w:customStyle="1" w:styleId="Heading3Char">
    <w:name w:val="Heading 3 Char"/>
    <w:link w:val="Heading3"/>
    <w:uiPriority w:val="99"/>
    <w:rsid w:val="00E30E85"/>
    <w:rPr>
      <w:rFonts w:ascii="Arial" w:hAnsi="Arial"/>
      <w:b/>
      <w:kern w:val="24"/>
      <w:sz w:val="24"/>
      <w:szCs w:val="48"/>
    </w:rPr>
  </w:style>
  <w:style w:type="character" w:customStyle="1" w:styleId="Heading4Char">
    <w:name w:val="Heading 4 Char"/>
    <w:link w:val="Heading4"/>
    <w:uiPriority w:val="99"/>
    <w:rsid w:val="00E8781A"/>
    <w:rPr>
      <w:rFonts w:ascii="Arial" w:hAnsi="Arial"/>
      <w:i/>
      <w:kern w:val="24"/>
      <w:sz w:val="24"/>
      <w:szCs w:val="4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8781A"/>
    <w:pPr>
      <w:spacing w:after="240"/>
      <w:contextualSpacing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8781A"/>
    <w:rPr>
      <w:rFonts w:ascii="Arial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81A"/>
    <w:pPr>
      <w:spacing w:before="240" w:after="240"/>
      <w:jc w:val="center"/>
      <w:outlineLvl w:val="1"/>
    </w:pPr>
    <w:rPr>
      <w:sz w:val="28"/>
    </w:rPr>
  </w:style>
  <w:style w:type="character" w:customStyle="1" w:styleId="SubtitleChar">
    <w:name w:val="Subtitle Char"/>
    <w:link w:val="Subtitle"/>
    <w:uiPriority w:val="11"/>
    <w:rsid w:val="00E8781A"/>
    <w:rPr>
      <w:rFonts w:ascii="Arial" w:eastAsia="Times New Roman" w:hAnsi="Arial" w:cs="Times New Roman"/>
      <w:sz w:val="28"/>
      <w:szCs w:val="24"/>
    </w:rPr>
  </w:style>
  <w:style w:type="numbering" w:customStyle="1" w:styleId="StyleBulletedSymbolsymbolBoldLeft025Hanging025">
    <w:name w:val="Style Bulleted Symbol (symbol) Bold Left:  0.25&quot; Hanging:  0.25..."/>
    <w:basedOn w:val="NoList"/>
    <w:rsid w:val="00E30E85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6F4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433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43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Montgomery User</dc:creator>
  <cp:keywords/>
  <cp:lastModifiedBy>Kate Hurst</cp:lastModifiedBy>
  <cp:revision>2</cp:revision>
  <dcterms:created xsi:type="dcterms:W3CDTF">2020-10-23T15:45:00Z</dcterms:created>
  <dcterms:modified xsi:type="dcterms:W3CDTF">2020-10-23T15:45:00Z</dcterms:modified>
</cp:coreProperties>
</file>